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75" w:rsidRDefault="00FF2C75" w:rsidP="00BD4B45">
      <w:pPr>
        <w:tabs>
          <w:tab w:val="left" w:pos="3782"/>
        </w:tabs>
      </w:pPr>
    </w:p>
    <w:tbl>
      <w:tblPr>
        <w:tblStyle w:val="Jasnecieniowanieakcent11"/>
        <w:tblW w:w="10348" w:type="dxa"/>
        <w:tblInd w:w="-459" w:type="dxa"/>
        <w:tblBorders>
          <w:top w:val="none" w:sz="0" w:space="0" w:color="auto"/>
          <w:bottom w:val="none" w:sz="0" w:space="0" w:color="auto"/>
        </w:tblBorders>
        <w:tblLayout w:type="fixed"/>
        <w:tblLook w:val="04A0"/>
      </w:tblPr>
      <w:tblGrid>
        <w:gridCol w:w="1329"/>
        <w:gridCol w:w="2107"/>
        <w:gridCol w:w="1492"/>
        <w:gridCol w:w="2443"/>
        <w:gridCol w:w="2977"/>
      </w:tblGrid>
      <w:tr w:rsidR="00593119" w:rsidTr="007E3D71">
        <w:trPr>
          <w:cnfStyle w:val="100000000000"/>
          <w:trHeight w:hRule="exact" w:val="318"/>
        </w:trPr>
        <w:tc>
          <w:tcPr>
            <w:cnfStyle w:val="001000000000"/>
            <w:tcW w:w="4928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353BBE" w:rsidP="00D0453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Ruchome Piaski 7</w:t>
            </w:r>
          </w:p>
        </w:tc>
        <w:tc>
          <w:tcPr>
            <w:tcW w:w="24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Pr="00566312" w:rsidRDefault="004F6811" w:rsidP="007E3D71">
            <w:pPr>
              <w:pStyle w:val="Bezodstpw"/>
              <w:jc w:val="right"/>
              <w:cnfStyle w:val="1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Seria</w:t>
            </w:r>
            <w:r w:rsidR="0052799E">
              <w:rPr>
                <w:sz w:val="18"/>
                <w:szCs w:val="18"/>
              </w:rPr>
              <w:t>RUCHOME PIASKI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93119" w:rsidRDefault="0052799E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RPS-0</w:t>
            </w:r>
            <w:r w:rsidR="00353BBE">
              <w:rPr>
                <w:sz w:val="24"/>
                <w:szCs w:val="24"/>
              </w:rPr>
              <w:t>7</w:t>
            </w:r>
          </w:p>
          <w:p w:rsidR="007E3D71" w:rsidRPr="00566312" w:rsidRDefault="007E3D71" w:rsidP="008D48EC">
            <w:pPr>
              <w:pStyle w:val="Bezodstpw"/>
              <w:jc w:val="right"/>
              <w:cnfStyle w:val="100000000000"/>
              <w:rPr>
                <w:sz w:val="24"/>
                <w:szCs w:val="24"/>
              </w:rPr>
            </w:pPr>
          </w:p>
        </w:tc>
      </w:tr>
      <w:tr w:rsidR="00492B56" w:rsidTr="00B5038A">
        <w:trPr>
          <w:cnfStyle w:val="000000100000"/>
          <w:trHeight w:val="6310"/>
        </w:trPr>
        <w:tc>
          <w:tcPr>
            <w:cnfStyle w:val="001000000000"/>
            <w:tcW w:w="10348" w:type="dxa"/>
            <w:gridSpan w:val="5"/>
            <w:shd w:val="clear" w:color="auto" w:fill="auto"/>
          </w:tcPr>
          <w:p w:rsidR="001E716D" w:rsidRDefault="000B1797" w:rsidP="000B1797">
            <w:pPr>
              <w:pStyle w:val="Bezodstpw"/>
              <w:jc w:val="center"/>
              <w:rPr>
                <w:noProof/>
                <w:color w:val="C6D9F1" w:themeColor="text2" w:themeTint="33"/>
              </w:rPr>
            </w:pPr>
            <w:r>
              <w:rPr>
                <w:noProof/>
                <w:color w:val="C6D9F1" w:themeColor="text2" w:themeTint="33"/>
                <w:lang w:eastAsia="pl-PL"/>
              </w:rPr>
              <w:drawing>
                <wp:inline distT="0" distB="0" distL="0" distR="0">
                  <wp:extent cx="4810125" cy="3352511"/>
                  <wp:effectExtent l="0" t="0" r="0" b="635"/>
                  <wp:docPr id="1" name="Obraz 1" descr="U:\Dokumentacja technologiczna\04 Zestawy metalowe\Ruchome Piaski\00 Zestawy\Ruchome Piaski 07 RPS-07\Pomocnicze\Ruchome Piaski 07 RPS-07_wiz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:\Dokumentacja technologiczna\04 Zestawy metalowe\Ruchome Piaski\00 Zestawy\Ruchome Piaski 07 RPS-07\Pomocnicze\Ruchome Piaski 07 RPS-07_wiz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1630" t="4678" r="14815" b="7895"/>
                          <a:stretch/>
                        </pic:blipFill>
                        <pic:spPr bwMode="auto">
                          <a:xfrm>
                            <a:off x="0" y="0"/>
                            <a:ext cx="4810125" cy="3352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53BBE" w:rsidRDefault="000B1797" w:rsidP="00593119">
            <w:pPr>
              <w:pStyle w:val="Bezodstpw"/>
              <w:rPr>
                <w:noProof/>
                <w:color w:val="C6D9F1" w:themeColor="text2" w:themeTint="33"/>
              </w:rPr>
            </w:pPr>
            <w:r>
              <w:rPr>
                <w:noProof/>
                <w:color w:val="C6D9F1" w:themeColor="text2" w:themeTint="33"/>
                <w:lang w:eastAsia="pl-PL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3679190</wp:posOffset>
                  </wp:positionH>
                  <wp:positionV relativeFrom="paragraph">
                    <wp:posOffset>167005</wp:posOffset>
                  </wp:positionV>
                  <wp:extent cx="2750820" cy="1821180"/>
                  <wp:effectExtent l="0" t="0" r="0" b="7620"/>
                  <wp:wrapSquare wrapText="bothSides"/>
                  <wp:docPr id="25" name="Obraz 25" descr="C:\Users\FreeKids\AppData\Local\Microsoft\Windows\INetCache\Content.Word\Ruchome Piaski 7-Mod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eeKids\AppData\Local\Microsoft\Windows\INetCache\Content.Word\Ruchome Piaski 7-Mod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0820" cy="1821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92B56" w:rsidRPr="00192F77" w:rsidRDefault="000B1797" w:rsidP="00593119">
            <w:pPr>
              <w:pStyle w:val="Bezodstpw"/>
              <w:rPr>
                <w:noProof/>
                <w:color w:val="C6D9F1" w:themeColor="text2" w:themeTint="33"/>
              </w:rPr>
            </w:pPr>
            <w:r>
              <w:rPr>
                <w:noProof/>
                <w:color w:val="C6D9F1" w:themeColor="text2" w:themeTint="33"/>
                <w:lang w:eastAsia="pl-PL"/>
              </w:rPr>
              <w:drawing>
                <wp:inline distT="0" distB="0" distL="0" distR="0">
                  <wp:extent cx="3722270" cy="1885950"/>
                  <wp:effectExtent l="0" t="0" r="0" b="0"/>
                  <wp:docPr id="2" name="Obraz 2" descr="U:\Dokumentacja technologiczna\04 Zestawy metalowe\Ruchome Piaski\00 Zestawy\Ruchome Piaski 07 RPS-07\Pomocnicze\Ruchome Piaski 07 RPS-07_wiz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:\Dokumentacja technologiczna\04 Zestawy metalowe\Ruchome Piaski\00 Zestawy\Ruchome Piaski 07 RPS-07\Pomocnicze\Ruchome Piaski 07 RPS-07_wiz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72227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593119" w:rsidTr="00EE2DCA">
        <w:trPr>
          <w:trHeight w:hRule="exact" w:val="318"/>
        </w:trPr>
        <w:tc>
          <w:tcPr>
            <w:cnfStyle w:val="001000000000"/>
            <w:tcW w:w="4928" w:type="dxa"/>
            <w:gridSpan w:val="3"/>
            <w:shd w:val="clear" w:color="auto" w:fill="DBE5F1" w:themeFill="accent1" w:themeFillTint="33"/>
            <w:vAlign w:val="center"/>
          </w:tcPr>
          <w:p w:rsidR="00593119" w:rsidRPr="00566312" w:rsidRDefault="00593119" w:rsidP="003E0A32">
            <w:pPr>
              <w:pStyle w:val="Bezodstpw"/>
            </w:pPr>
          </w:p>
        </w:tc>
        <w:tc>
          <w:tcPr>
            <w:tcW w:w="5420" w:type="dxa"/>
            <w:gridSpan w:val="2"/>
            <w:shd w:val="clear" w:color="auto" w:fill="DBE5F1" w:themeFill="accent1" w:themeFillTint="33"/>
            <w:vAlign w:val="center"/>
          </w:tcPr>
          <w:p w:rsidR="00593119" w:rsidRPr="00566312" w:rsidRDefault="00593119" w:rsidP="00ED2EAE">
            <w:pPr>
              <w:pStyle w:val="Bezodstpw"/>
              <w:cnfStyle w:val="000000000000"/>
              <w:rPr>
                <w:b/>
              </w:rPr>
            </w:pPr>
            <w:r w:rsidRPr="00566312">
              <w:rPr>
                <w:b/>
              </w:rPr>
              <w:t>DANE TECHNICZNE</w:t>
            </w:r>
          </w:p>
        </w:tc>
      </w:tr>
      <w:tr w:rsidR="00593119" w:rsidTr="00492B56">
        <w:trPr>
          <w:cnfStyle w:val="000000100000"/>
          <w:trHeight w:hRule="exact" w:val="212"/>
        </w:trPr>
        <w:tc>
          <w:tcPr>
            <w:cnfStyle w:val="001000000000"/>
            <w:tcW w:w="3436" w:type="dxa"/>
            <w:gridSpan w:val="2"/>
            <w:vMerge w:val="restart"/>
            <w:shd w:val="clear" w:color="auto" w:fill="auto"/>
          </w:tcPr>
          <w:p w:rsidR="003E0A32" w:rsidRDefault="008C35BB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1x Ruchome Piaski </w:t>
            </w:r>
            <w:r w:rsidR="0010628F">
              <w:rPr>
                <w:b w:val="0"/>
                <w:bCs w:val="0"/>
                <w:sz w:val="18"/>
                <w:szCs w:val="18"/>
              </w:rPr>
              <w:t xml:space="preserve">–Prowadnica </w:t>
            </w:r>
            <w:r w:rsidR="00353BBE">
              <w:rPr>
                <w:b w:val="0"/>
                <w:bCs w:val="0"/>
                <w:sz w:val="18"/>
                <w:szCs w:val="18"/>
              </w:rPr>
              <w:t>Łuk</w:t>
            </w:r>
          </w:p>
          <w:p w:rsidR="008C35BB" w:rsidRDefault="00285BD0" w:rsidP="0010628F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</w:t>
            </w:r>
            <w:r w:rsidR="008C35BB">
              <w:rPr>
                <w:b w:val="0"/>
                <w:bCs w:val="0"/>
                <w:sz w:val="18"/>
                <w:szCs w:val="18"/>
              </w:rPr>
              <w:t>x Ruchome Piaski –</w:t>
            </w:r>
            <w:r w:rsidR="00353BBE">
              <w:rPr>
                <w:b w:val="0"/>
                <w:bCs w:val="0"/>
                <w:sz w:val="18"/>
                <w:szCs w:val="18"/>
              </w:rPr>
              <w:t xml:space="preserve">Sitko </w:t>
            </w:r>
            <w:r w:rsidR="00353BBE" w:rsidRPr="00353BBE">
              <w:rPr>
                <w:b w:val="0"/>
                <w:bCs w:val="0"/>
                <w:sz w:val="18"/>
                <w:szCs w:val="18"/>
              </w:rPr>
              <w:t>Stolik</w:t>
            </w:r>
          </w:p>
          <w:p w:rsidR="00492B56" w:rsidRDefault="007C7468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</w:t>
            </w:r>
            <w:r w:rsidR="00492B56">
              <w:rPr>
                <w:b w:val="0"/>
                <w:bCs w:val="0"/>
                <w:sz w:val="18"/>
                <w:szCs w:val="18"/>
              </w:rPr>
              <w:t>x</w:t>
            </w:r>
            <w:r>
              <w:rPr>
                <w:b w:val="0"/>
                <w:bCs w:val="0"/>
                <w:sz w:val="18"/>
                <w:szCs w:val="18"/>
              </w:rPr>
              <w:t xml:space="preserve"> Ruchome Piaski – </w:t>
            </w:r>
            <w:r w:rsidR="0010628F">
              <w:rPr>
                <w:b w:val="0"/>
                <w:bCs w:val="0"/>
                <w:sz w:val="18"/>
                <w:szCs w:val="18"/>
              </w:rPr>
              <w:t>Pieczątki piaskowe</w:t>
            </w:r>
          </w:p>
          <w:p w:rsidR="00ED23C2" w:rsidRDefault="00ED23C2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1x Ruchome Piaski – Zjeżdżalnia Piaskowa</w:t>
            </w:r>
          </w:p>
          <w:p w:rsidR="0010628F" w:rsidRDefault="00353BBE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</w:t>
            </w:r>
            <w:r w:rsidR="0010628F">
              <w:rPr>
                <w:b w:val="0"/>
                <w:bCs w:val="0"/>
                <w:sz w:val="18"/>
                <w:szCs w:val="18"/>
              </w:rPr>
              <w:t>x</w:t>
            </w:r>
            <w:r w:rsidR="007C7468">
              <w:rPr>
                <w:b w:val="0"/>
                <w:bCs w:val="0"/>
                <w:sz w:val="18"/>
                <w:szCs w:val="18"/>
              </w:rPr>
              <w:t xml:space="preserve"> Ruchome Piaski – </w:t>
            </w:r>
            <w:r w:rsidR="00285BD0">
              <w:rPr>
                <w:b w:val="0"/>
                <w:bCs w:val="0"/>
                <w:sz w:val="18"/>
                <w:szCs w:val="18"/>
              </w:rPr>
              <w:t>Lejek</w:t>
            </w:r>
          </w:p>
          <w:p w:rsidR="007C7468" w:rsidRDefault="007C7468" w:rsidP="007C7468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1x Ruchome Piaski –  Stolik</w:t>
            </w:r>
          </w:p>
          <w:p w:rsidR="00492B56" w:rsidRDefault="00285BD0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1x Ruchome Piaski –  </w:t>
            </w:r>
            <w:r w:rsidR="00353BBE">
              <w:rPr>
                <w:b w:val="0"/>
                <w:bCs w:val="0"/>
                <w:sz w:val="18"/>
                <w:szCs w:val="18"/>
              </w:rPr>
              <w:t>Wózek</w:t>
            </w:r>
          </w:p>
          <w:p w:rsidR="00ED23C2" w:rsidRPr="003E0A32" w:rsidRDefault="00ED23C2" w:rsidP="003E0A32">
            <w:pPr>
              <w:pStyle w:val="Bezodstpw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1x Ruchome Piaski – Wciągarka </w:t>
            </w:r>
          </w:p>
        </w:tc>
        <w:tc>
          <w:tcPr>
            <w:tcW w:w="1492" w:type="dxa"/>
            <w:vMerge w:val="restart"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Max</w:t>
            </w:r>
            <w:r w:rsidR="009B319D">
              <w:rPr>
                <w:sz w:val="18"/>
                <w:szCs w:val="18"/>
              </w:rPr>
              <w:t>.</w:t>
            </w:r>
            <w:r w:rsidRPr="003D7BCC">
              <w:rPr>
                <w:sz w:val="18"/>
                <w:szCs w:val="18"/>
              </w:rPr>
              <w:t xml:space="preserve"> wysokość upadku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F54C3F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593119" w:rsidTr="00492B56">
        <w:trPr>
          <w:trHeight w:hRule="exact" w:val="212"/>
        </w:trPr>
        <w:tc>
          <w:tcPr>
            <w:cnfStyle w:val="001000000000"/>
            <w:tcW w:w="3436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Wymiary (dł x szer x wys)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353BBE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5,39</w:t>
            </w:r>
            <w:r w:rsidR="00DA7142">
              <w:rPr>
                <w:sz w:val="18"/>
                <w:szCs w:val="18"/>
              </w:rPr>
              <w:t xml:space="preserve"> x </w:t>
            </w:r>
            <w:r w:rsidR="001E716D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21</w:t>
            </w:r>
            <w:r w:rsidR="000B1797">
              <w:rPr>
                <w:sz w:val="18"/>
                <w:szCs w:val="18"/>
              </w:rPr>
              <w:t xml:space="preserve"> x 1,9</w:t>
            </w:r>
            <w:r w:rsidR="008C35BB">
              <w:rPr>
                <w:sz w:val="18"/>
                <w:szCs w:val="18"/>
              </w:rPr>
              <w:t>0</w:t>
            </w:r>
            <w:r w:rsidR="00F54C3F">
              <w:rPr>
                <w:sz w:val="18"/>
                <w:szCs w:val="18"/>
              </w:rPr>
              <w:t xml:space="preserve"> m</w:t>
            </w:r>
          </w:p>
        </w:tc>
      </w:tr>
      <w:tr w:rsidR="00593119" w:rsidTr="00492B56">
        <w:trPr>
          <w:cnfStyle w:val="000000100000"/>
          <w:trHeight w:hRule="exact" w:val="212"/>
        </w:trPr>
        <w:tc>
          <w:tcPr>
            <w:cnfStyle w:val="001000000000"/>
            <w:tcW w:w="3436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 w:rsidRPr="003D7BCC">
              <w:rPr>
                <w:sz w:val="18"/>
                <w:szCs w:val="18"/>
              </w:rPr>
              <w:t>Powierzchnia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F54C3F" w:rsidRDefault="00353BBE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  <w:r w:rsidR="00F54C3F">
              <w:rPr>
                <w:sz w:val="18"/>
                <w:szCs w:val="18"/>
              </w:rPr>
              <w:t xml:space="preserve"> x </w:t>
            </w:r>
            <w:r>
              <w:rPr>
                <w:sz w:val="18"/>
                <w:szCs w:val="18"/>
              </w:rPr>
              <w:t>5,4</w:t>
            </w:r>
            <w:r w:rsidR="00F54C3F">
              <w:rPr>
                <w:sz w:val="18"/>
                <w:szCs w:val="18"/>
              </w:rPr>
              <w:t xml:space="preserve"> m</w:t>
            </w:r>
          </w:p>
        </w:tc>
      </w:tr>
      <w:tr w:rsidR="007A491B" w:rsidTr="00492B56">
        <w:trPr>
          <w:trHeight w:hRule="exact" w:val="212"/>
        </w:trPr>
        <w:tc>
          <w:tcPr>
            <w:cnfStyle w:val="001000000000"/>
            <w:tcW w:w="3436" w:type="dxa"/>
            <w:gridSpan w:val="2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:rsidR="007A491B" w:rsidRPr="003D7BCC" w:rsidRDefault="007A491B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7A491B" w:rsidRPr="003D7BCC" w:rsidRDefault="007A491B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 powierzchni zderzenia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A491B" w:rsidRPr="00566312" w:rsidRDefault="001E716D" w:rsidP="00980D93">
            <w:pPr>
              <w:pStyle w:val="Bezodstpw"/>
              <w:cnfStyle w:val="00000000000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3</w:t>
            </w:r>
            <w:r w:rsidR="00353BBE">
              <w:rPr>
                <w:sz w:val="18"/>
                <w:szCs w:val="18"/>
              </w:rPr>
              <w:t>3,9</w:t>
            </w:r>
            <w:r w:rsidR="00F54C3F">
              <w:rPr>
                <w:sz w:val="18"/>
                <w:szCs w:val="18"/>
              </w:rPr>
              <w:t xml:space="preserve"> m</w:t>
            </w:r>
            <w:r w:rsidR="00F54C3F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593119" w:rsidTr="00492B56">
        <w:trPr>
          <w:cnfStyle w:val="000000100000"/>
          <w:trHeight w:hRule="exact" w:val="212"/>
        </w:trPr>
        <w:tc>
          <w:tcPr>
            <w:cnfStyle w:val="001000000000"/>
            <w:tcW w:w="3436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1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61710D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Zalecana nawierzchnia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710D" w:rsidRDefault="0061710D" w:rsidP="0061710D">
            <w:pPr>
              <w:pStyle w:val="Default"/>
              <w:cnfStyle w:val="000000100000"/>
            </w:pPr>
            <w:r>
              <w:rPr>
                <w:color w:val="365F92"/>
                <w:sz w:val="18"/>
                <w:szCs w:val="18"/>
              </w:rPr>
              <w:t>Zgodnie z normą 1176‐1:2009</w:t>
            </w:r>
          </w:p>
          <w:p w:rsidR="00593119" w:rsidRPr="00566312" w:rsidRDefault="00593119" w:rsidP="00980D93">
            <w:pPr>
              <w:pStyle w:val="Bezodstpw"/>
              <w:cnfStyle w:val="000000100000"/>
              <w:rPr>
                <w:sz w:val="18"/>
                <w:szCs w:val="18"/>
              </w:rPr>
            </w:pPr>
          </w:p>
        </w:tc>
      </w:tr>
      <w:tr w:rsidR="00593119" w:rsidTr="00492B56">
        <w:trPr>
          <w:trHeight w:hRule="exact" w:val="212"/>
        </w:trPr>
        <w:tc>
          <w:tcPr>
            <w:cnfStyle w:val="001000000000"/>
            <w:tcW w:w="3436" w:type="dxa"/>
            <w:gridSpan w:val="2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rPr>
                <w:b w:val="0"/>
                <w:sz w:val="18"/>
                <w:szCs w:val="18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:rsidR="00593119" w:rsidRPr="003D7BCC" w:rsidRDefault="00593119" w:rsidP="00593119">
            <w:pPr>
              <w:pStyle w:val="Bezodstpw"/>
              <w:cnfStyle w:val="000000000000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  <w:vAlign w:val="center"/>
          </w:tcPr>
          <w:p w:rsidR="00593119" w:rsidRPr="003D7BCC" w:rsidRDefault="00593119" w:rsidP="00980D93">
            <w:pPr>
              <w:pStyle w:val="Bezodstpw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3119" w:rsidRPr="00566312" w:rsidRDefault="00593119" w:rsidP="0061710D">
            <w:pPr>
              <w:pStyle w:val="Default"/>
              <w:cnfStyle w:val="000000000000"/>
              <w:rPr>
                <w:sz w:val="18"/>
                <w:szCs w:val="18"/>
              </w:rPr>
            </w:pPr>
          </w:p>
        </w:tc>
      </w:tr>
      <w:tr w:rsidR="00593119" w:rsidTr="00ED23C2">
        <w:trPr>
          <w:cnfStyle w:val="000000100000"/>
          <w:trHeight w:hRule="exact" w:val="600"/>
        </w:trPr>
        <w:tc>
          <w:tcPr>
            <w:cnfStyle w:val="001000000000"/>
            <w:tcW w:w="3436" w:type="dxa"/>
            <w:gridSpan w:val="2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rPr>
                <w:b w:val="0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100000"/>
              <w:rPr>
                <w:bCs/>
              </w:rPr>
            </w:pPr>
          </w:p>
        </w:tc>
        <w:tc>
          <w:tcPr>
            <w:tcW w:w="2443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100000"/>
              <w:rPr>
                <w:color w:val="C6D9F1" w:themeColor="text2" w:themeTint="33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93119" w:rsidRPr="007B5388" w:rsidRDefault="00593119" w:rsidP="00593119">
            <w:pPr>
              <w:pStyle w:val="Bezodstpw"/>
              <w:cnfStyle w:val="000000100000"/>
              <w:rPr>
                <w:color w:val="C6D9F1" w:themeColor="text2" w:themeTint="33"/>
                <w:sz w:val="20"/>
                <w:szCs w:val="20"/>
              </w:rPr>
            </w:pPr>
          </w:p>
        </w:tc>
      </w:tr>
      <w:tr w:rsidR="00593119" w:rsidTr="00513877">
        <w:trPr>
          <w:trHeight w:val="80"/>
        </w:trPr>
        <w:tc>
          <w:tcPr>
            <w:cnfStyle w:val="001000000000"/>
            <w:tcW w:w="10348" w:type="dxa"/>
            <w:gridSpan w:val="5"/>
            <w:tcBorders>
              <w:bottom w:val="single" w:sz="8" w:space="0" w:color="DBE5F1" w:themeColor="accent1" w:themeTint="33"/>
            </w:tcBorders>
            <w:shd w:val="clear" w:color="auto" w:fill="auto"/>
            <w:vAlign w:val="center"/>
          </w:tcPr>
          <w:p w:rsidR="00593119" w:rsidRPr="00000B97" w:rsidRDefault="00593119" w:rsidP="00593119">
            <w:pPr>
              <w:pStyle w:val="Bezodstpw"/>
            </w:pPr>
            <w:r w:rsidRPr="00000B97">
              <w:t>Dostępne opcje:</w:t>
            </w:r>
          </w:p>
        </w:tc>
      </w:tr>
      <w:tr w:rsidR="00206497" w:rsidTr="00206497">
        <w:trPr>
          <w:cnfStyle w:val="000000100000"/>
          <w:trHeight w:hRule="exact" w:val="318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206497" w:rsidRPr="0049471D" w:rsidRDefault="00206497" w:rsidP="00593119">
            <w:pPr>
              <w:pStyle w:val="Bezodstpw"/>
            </w:pP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206497" w:rsidRPr="00566312" w:rsidRDefault="00206497" w:rsidP="00593119">
            <w:pPr>
              <w:pStyle w:val="Bezodstpw"/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PREMIUM</w:t>
            </w:r>
          </w:p>
        </w:tc>
      </w:tr>
      <w:tr w:rsidR="00206497" w:rsidTr="00206497">
        <w:trPr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206497" w:rsidRDefault="00206497" w:rsidP="00606A7B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STAL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206497" w:rsidRDefault="00206497" w:rsidP="006C0375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Elementy stalowe ocynkowane i malowane proszkowo</w:t>
            </w:r>
          </w:p>
        </w:tc>
      </w:tr>
      <w:tr w:rsidR="00206497" w:rsidTr="00206497">
        <w:trPr>
          <w:cnfStyle w:val="000000100000"/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206497" w:rsidRDefault="00206497" w:rsidP="00606A7B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PŁYTY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206497" w:rsidRDefault="00206497" w:rsidP="006C0375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</w:t>
            </w:r>
            <w:r w:rsidRPr="0007087F">
              <w:rPr>
                <w:rFonts w:cstheme="minorHAnsi"/>
                <w:sz w:val="16"/>
                <w:szCs w:val="16"/>
              </w:rPr>
              <w:t xml:space="preserve">łyty z tworzywa HDPE </w:t>
            </w:r>
            <w:r>
              <w:rPr>
                <w:rFonts w:cstheme="minorHAnsi"/>
                <w:sz w:val="16"/>
                <w:szCs w:val="16"/>
              </w:rPr>
              <w:t>/ HPL  oraz HDPE trójwarstwowe z frezowanymi rysunkami</w:t>
            </w:r>
          </w:p>
        </w:tc>
      </w:tr>
      <w:tr w:rsidR="00206497" w:rsidTr="00206497">
        <w:trPr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206497" w:rsidRPr="00157335" w:rsidRDefault="00206497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KOTWIENIE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206497" w:rsidRDefault="00206497" w:rsidP="006C0375">
            <w:pPr>
              <w:pStyle w:val="Bezodstpw"/>
              <w:cnfStyle w:val="0000000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Urządzenie na stałe posadowione w gruncie, betonowane betonem klasy min. B-20</w:t>
            </w:r>
          </w:p>
        </w:tc>
      </w:tr>
      <w:tr w:rsidR="00206497" w:rsidTr="00206497">
        <w:trPr>
          <w:cnfStyle w:val="000000100000"/>
          <w:trHeight w:val="371"/>
        </w:trPr>
        <w:tc>
          <w:tcPr>
            <w:cnfStyle w:val="001000000000"/>
            <w:tcW w:w="13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206497" w:rsidRDefault="00206497" w:rsidP="00593119">
            <w:pPr>
              <w:pStyle w:val="Bezodstpw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DODATKI</w:t>
            </w:r>
          </w:p>
        </w:tc>
        <w:tc>
          <w:tcPr>
            <w:tcW w:w="9019" w:type="dxa"/>
            <w:gridSpan w:val="4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206497" w:rsidRDefault="00206497" w:rsidP="006C0375">
            <w:pPr>
              <w:pStyle w:val="Bezodstpw"/>
              <w:cnfStyle w:val="0000001000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Słupy konstrukcyjne, wszelkie otwory niebezpieczne oraz wystające elementy śrub i nakrętek osłonięte zaślepkami. Nakrętki kołpakowe z łbem kulistym nie osłonięte zaślepkami.</w:t>
            </w:r>
          </w:p>
        </w:tc>
      </w:tr>
      <w:tr w:rsidR="00606A7B" w:rsidTr="00EE2DCA">
        <w:trPr>
          <w:trHeight w:val="666"/>
        </w:trPr>
        <w:tc>
          <w:tcPr>
            <w:cnfStyle w:val="001000000000"/>
            <w:tcW w:w="10348" w:type="dxa"/>
            <w:gridSpan w:val="5"/>
            <w:tcBorders>
              <w:top w:val="single" w:sz="8" w:space="0" w:color="DBE5F1" w:themeColor="accent1" w:themeTint="33"/>
            </w:tcBorders>
            <w:shd w:val="clear" w:color="auto" w:fill="auto"/>
            <w:vAlign w:val="center"/>
          </w:tcPr>
          <w:p w:rsidR="00ED0870" w:rsidRPr="00EE2DCA" w:rsidRDefault="00ED0870" w:rsidP="00377ECA">
            <w:pPr>
              <w:pStyle w:val="Stopka"/>
              <w:rPr>
                <w:b w:val="0"/>
                <w:color w:val="auto"/>
                <w:sz w:val="16"/>
                <w:szCs w:val="16"/>
              </w:rPr>
            </w:pPr>
            <w:r w:rsidRPr="00437BF3">
              <w:rPr>
                <w:b w:val="0"/>
                <w:sz w:val="16"/>
                <w:szCs w:val="16"/>
              </w:rPr>
              <w:t xml:space="preserve">Certyfikat </w:t>
            </w:r>
            <w:r w:rsidR="00DB093C">
              <w:rPr>
                <w:b w:val="0"/>
                <w:sz w:val="16"/>
                <w:szCs w:val="16"/>
              </w:rPr>
              <w:t xml:space="preserve">zgodności z </w:t>
            </w:r>
            <w:r w:rsidR="003D5535">
              <w:rPr>
                <w:b w:val="0"/>
                <w:sz w:val="16"/>
                <w:szCs w:val="16"/>
              </w:rPr>
              <w:t>normą z grupy PN-EN 1176:2009.</w:t>
            </w:r>
          </w:p>
        </w:tc>
      </w:tr>
    </w:tbl>
    <w:p w:rsidR="00593119" w:rsidRPr="00255CB1" w:rsidRDefault="00593119" w:rsidP="00C355A1">
      <w:pPr>
        <w:tabs>
          <w:tab w:val="left" w:pos="3782"/>
        </w:tabs>
      </w:pPr>
    </w:p>
    <w:sectPr w:rsidR="00593119" w:rsidRPr="00255CB1" w:rsidSect="008730D2">
      <w:headerReference w:type="even" r:id="rId10"/>
      <w:pgSz w:w="11906" w:h="16838"/>
      <w:pgMar w:top="426" w:right="1133" w:bottom="1134" w:left="1417" w:header="421" w:footer="2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CA2" w:rsidRDefault="00463CA2" w:rsidP="00B06421">
      <w:pPr>
        <w:spacing w:line="240" w:lineRule="auto"/>
      </w:pPr>
      <w:r>
        <w:separator/>
      </w:r>
    </w:p>
  </w:endnote>
  <w:endnote w:type="continuationSeparator" w:id="1">
    <w:p w:rsidR="00463CA2" w:rsidRDefault="00463CA2" w:rsidP="00B06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CA2" w:rsidRDefault="00463CA2" w:rsidP="00B06421">
      <w:pPr>
        <w:spacing w:line="240" w:lineRule="auto"/>
      </w:pPr>
      <w:r>
        <w:separator/>
      </w:r>
    </w:p>
  </w:footnote>
  <w:footnote w:type="continuationSeparator" w:id="1">
    <w:p w:rsidR="00463CA2" w:rsidRDefault="00463CA2" w:rsidP="00B064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87" w:rsidRDefault="00CE6087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06421"/>
    <w:rsid w:val="00000B97"/>
    <w:rsid w:val="0007087F"/>
    <w:rsid w:val="00085EA0"/>
    <w:rsid w:val="000908C9"/>
    <w:rsid w:val="000B0037"/>
    <w:rsid w:val="000B1797"/>
    <w:rsid w:val="000E1F60"/>
    <w:rsid w:val="000E38DB"/>
    <w:rsid w:val="000F6C0B"/>
    <w:rsid w:val="0010628F"/>
    <w:rsid w:val="00126D57"/>
    <w:rsid w:val="00157335"/>
    <w:rsid w:val="00175F69"/>
    <w:rsid w:val="001762C7"/>
    <w:rsid w:val="00192F77"/>
    <w:rsid w:val="001E051E"/>
    <w:rsid w:val="001E716D"/>
    <w:rsid w:val="00201A91"/>
    <w:rsid w:val="00206497"/>
    <w:rsid w:val="00207765"/>
    <w:rsid w:val="0023509C"/>
    <w:rsid w:val="00245CD9"/>
    <w:rsid w:val="00255CB1"/>
    <w:rsid w:val="00267D42"/>
    <w:rsid w:val="0027208A"/>
    <w:rsid w:val="00285BD0"/>
    <w:rsid w:val="00286815"/>
    <w:rsid w:val="002A6F5B"/>
    <w:rsid w:val="002C4059"/>
    <w:rsid w:val="002D2471"/>
    <w:rsid w:val="002E7E8D"/>
    <w:rsid w:val="0031567C"/>
    <w:rsid w:val="00321A23"/>
    <w:rsid w:val="00332F20"/>
    <w:rsid w:val="00342A54"/>
    <w:rsid w:val="0035260C"/>
    <w:rsid w:val="00353BBE"/>
    <w:rsid w:val="00362FC9"/>
    <w:rsid w:val="00377BC8"/>
    <w:rsid w:val="00377ECA"/>
    <w:rsid w:val="00387BF2"/>
    <w:rsid w:val="003C40AB"/>
    <w:rsid w:val="003D0E54"/>
    <w:rsid w:val="003D5535"/>
    <w:rsid w:val="003D7BCC"/>
    <w:rsid w:val="003E0A32"/>
    <w:rsid w:val="00402A06"/>
    <w:rsid w:val="0042521E"/>
    <w:rsid w:val="004270B9"/>
    <w:rsid w:val="00437BF3"/>
    <w:rsid w:val="00463CA2"/>
    <w:rsid w:val="004717BC"/>
    <w:rsid w:val="00487BDF"/>
    <w:rsid w:val="00492B56"/>
    <w:rsid w:val="0049471D"/>
    <w:rsid w:val="004A1B1D"/>
    <w:rsid w:val="004B140C"/>
    <w:rsid w:val="004B76D4"/>
    <w:rsid w:val="004D39ED"/>
    <w:rsid w:val="004F5348"/>
    <w:rsid w:val="004F605D"/>
    <w:rsid w:val="004F6811"/>
    <w:rsid w:val="00513877"/>
    <w:rsid w:val="00526FF3"/>
    <w:rsid w:val="0052799E"/>
    <w:rsid w:val="00554DE1"/>
    <w:rsid w:val="00554FE9"/>
    <w:rsid w:val="0055620E"/>
    <w:rsid w:val="00566312"/>
    <w:rsid w:val="00581A52"/>
    <w:rsid w:val="0058631A"/>
    <w:rsid w:val="00593119"/>
    <w:rsid w:val="005A02CC"/>
    <w:rsid w:val="005C7B1B"/>
    <w:rsid w:val="005D6522"/>
    <w:rsid w:val="006012F7"/>
    <w:rsid w:val="00606A7B"/>
    <w:rsid w:val="00606BDB"/>
    <w:rsid w:val="0061710D"/>
    <w:rsid w:val="006608F6"/>
    <w:rsid w:val="006F4A93"/>
    <w:rsid w:val="0075462B"/>
    <w:rsid w:val="00762BA6"/>
    <w:rsid w:val="007759B3"/>
    <w:rsid w:val="00790F1B"/>
    <w:rsid w:val="007A491B"/>
    <w:rsid w:val="007B5388"/>
    <w:rsid w:val="007C1C27"/>
    <w:rsid w:val="007C7468"/>
    <w:rsid w:val="007E3D71"/>
    <w:rsid w:val="00810DAE"/>
    <w:rsid w:val="00817993"/>
    <w:rsid w:val="00853C90"/>
    <w:rsid w:val="00871F48"/>
    <w:rsid w:val="008730D2"/>
    <w:rsid w:val="00875E0C"/>
    <w:rsid w:val="008B2940"/>
    <w:rsid w:val="008C35BB"/>
    <w:rsid w:val="008D2DB3"/>
    <w:rsid w:val="008D48EC"/>
    <w:rsid w:val="00980D93"/>
    <w:rsid w:val="0099420F"/>
    <w:rsid w:val="00994DEC"/>
    <w:rsid w:val="009B2ADF"/>
    <w:rsid w:val="009B319D"/>
    <w:rsid w:val="009B6D3E"/>
    <w:rsid w:val="009E3841"/>
    <w:rsid w:val="00A920DA"/>
    <w:rsid w:val="00AB2B55"/>
    <w:rsid w:val="00AC0E3A"/>
    <w:rsid w:val="00AD0415"/>
    <w:rsid w:val="00AE3A79"/>
    <w:rsid w:val="00B06421"/>
    <w:rsid w:val="00B4592E"/>
    <w:rsid w:val="00B62CF9"/>
    <w:rsid w:val="00B62D7B"/>
    <w:rsid w:val="00B70421"/>
    <w:rsid w:val="00B803CC"/>
    <w:rsid w:val="00B83A7D"/>
    <w:rsid w:val="00BC2DDE"/>
    <w:rsid w:val="00BC32E0"/>
    <w:rsid w:val="00BD4057"/>
    <w:rsid w:val="00BD410F"/>
    <w:rsid w:val="00BD4B45"/>
    <w:rsid w:val="00C00762"/>
    <w:rsid w:val="00C05D1B"/>
    <w:rsid w:val="00C21BC6"/>
    <w:rsid w:val="00C24335"/>
    <w:rsid w:val="00C24F7E"/>
    <w:rsid w:val="00C31094"/>
    <w:rsid w:val="00C355A1"/>
    <w:rsid w:val="00C50FB8"/>
    <w:rsid w:val="00C63498"/>
    <w:rsid w:val="00C730AD"/>
    <w:rsid w:val="00C74AA3"/>
    <w:rsid w:val="00C80CCD"/>
    <w:rsid w:val="00CA5E35"/>
    <w:rsid w:val="00CA7F22"/>
    <w:rsid w:val="00CB0310"/>
    <w:rsid w:val="00CB2285"/>
    <w:rsid w:val="00CC1D9D"/>
    <w:rsid w:val="00CC5D86"/>
    <w:rsid w:val="00CC73BF"/>
    <w:rsid w:val="00CE6087"/>
    <w:rsid w:val="00CF5827"/>
    <w:rsid w:val="00D0453B"/>
    <w:rsid w:val="00D32FA7"/>
    <w:rsid w:val="00D75319"/>
    <w:rsid w:val="00D75CF5"/>
    <w:rsid w:val="00D96CFE"/>
    <w:rsid w:val="00DA35F2"/>
    <w:rsid w:val="00DA650F"/>
    <w:rsid w:val="00DA7142"/>
    <w:rsid w:val="00DB093C"/>
    <w:rsid w:val="00DF14BB"/>
    <w:rsid w:val="00DF7361"/>
    <w:rsid w:val="00E02CA3"/>
    <w:rsid w:val="00E43451"/>
    <w:rsid w:val="00E758B9"/>
    <w:rsid w:val="00E83B69"/>
    <w:rsid w:val="00E86007"/>
    <w:rsid w:val="00E918AB"/>
    <w:rsid w:val="00E95F85"/>
    <w:rsid w:val="00E976F1"/>
    <w:rsid w:val="00EC7E0C"/>
    <w:rsid w:val="00ED0870"/>
    <w:rsid w:val="00ED23C2"/>
    <w:rsid w:val="00ED2EAE"/>
    <w:rsid w:val="00EE2DCA"/>
    <w:rsid w:val="00F056EF"/>
    <w:rsid w:val="00F06EF9"/>
    <w:rsid w:val="00F11963"/>
    <w:rsid w:val="00F54C3F"/>
    <w:rsid w:val="00F6141E"/>
    <w:rsid w:val="00F77B10"/>
    <w:rsid w:val="00FB59A5"/>
    <w:rsid w:val="00FF2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E3A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B06421"/>
  </w:style>
  <w:style w:type="paragraph" w:styleId="Stopka">
    <w:name w:val="footer"/>
    <w:basedOn w:val="Normalny"/>
    <w:link w:val="StopkaZnak"/>
    <w:uiPriority w:val="99"/>
    <w:unhideWhenUsed/>
    <w:rsid w:val="00B06421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B06421"/>
  </w:style>
  <w:style w:type="table" w:styleId="Tabela-Siatka">
    <w:name w:val="Table Grid"/>
    <w:basedOn w:val="Standardowy"/>
    <w:uiPriority w:val="59"/>
    <w:rsid w:val="00B06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64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42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06BDB"/>
    <w:pPr>
      <w:spacing w:after="0" w:line="240" w:lineRule="auto"/>
    </w:pPr>
  </w:style>
  <w:style w:type="table" w:customStyle="1" w:styleId="Jasnecieniowanieakcent11">
    <w:name w:val="Jasne cieniowanie — akcent 11"/>
    <w:basedOn w:val="Standardowy"/>
    <w:uiPriority w:val="60"/>
    <w:rsid w:val="00C2433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617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A242D-7C65-40D4-BC8A-E17CD5D0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FreeKids</dc:creator>
  <cp:lastModifiedBy>DUW</cp:lastModifiedBy>
  <cp:revision>10</cp:revision>
  <cp:lastPrinted>2018-02-15T06:38:00Z</cp:lastPrinted>
  <dcterms:created xsi:type="dcterms:W3CDTF">2017-06-28T13:22:00Z</dcterms:created>
  <dcterms:modified xsi:type="dcterms:W3CDTF">2018-07-14T19:27:00Z</dcterms:modified>
</cp:coreProperties>
</file>